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CE" w:rsidRDefault="00A52DCE" w:rsidP="00A52DCE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A52DCE">
        <w:rPr>
          <w:rFonts w:asciiTheme="majorBidi" w:hAnsiTheme="majorBidi" w:cstheme="majorBidi"/>
          <w:b/>
          <w:bCs/>
          <w:sz w:val="36"/>
          <w:szCs w:val="36"/>
          <w:rtl/>
        </w:rPr>
        <w:t>بحوث إسهامات الشراكة المجتمعية في قضايا التعليم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</w:t>
      </w:r>
    </w:p>
    <w:p w:rsidR="00543339" w:rsidRDefault="00A52DCE" w:rsidP="00A52DCE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A52DCE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أين وإلي أين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؟</w:t>
      </w:r>
    </w:p>
    <w:p w:rsidR="00A52DCE" w:rsidRPr="00261746" w:rsidRDefault="00A52DCE" w:rsidP="00A52DCE">
      <w:pPr>
        <w:spacing w:after="0" w:line="240" w:lineRule="auto"/>
        <w:jc w:val="center"/>
        <w:rPr>
          <w:rFonts w:cs="Times New Roman"/>
          <w:b/>
          <w:bCs/>
          <w:i/>
          <w:sz w:val="36"/>
          <w:szCs w:val="36"/>
          <w:rtl/>
          <w:lang w:bidi="ar-EG"/>
        </w:rPr>
      </w:pPr>
      <w:r w:rsidRPr="00261746">
        <w:rPr>
          <w:rFonts w:cs="Times New Roman"/>
          <w:b/>
          <w:bCs/>
          <w:i/>
          <w:sz w:val="36"/>
          <w:szCs w:val="36"/>
          <w:rtl/>
          <w:lang w:bidi="ar-EG"/>
        </w:rPr>
        <w:t>إعداد</w:t>
      </w:r>
    </w:p>
    <w:p w:rsidR="00A52DCE" w:rsidRPr="00261746" w:rsidRDefault="00A52DCE" w:rsidP="00A52DCE">
      <w:pPr>
        <w:spacing w:after="0" w:line="240" w:lineRule="auto"/>
        <w:jc w:val="center"/>
        <w:rPr>
          <w:rFonts w:cs="Times New Roman"/>
          <w:b/>
          <w:bCs/>
          <w:i/>
          <w:sz w:val="36"/>
          <w:szCs w:val="36"/>
          <w:rtl/>
          <w:lang w:bidi="ar-EG"/>
        </w:rPr>
      </w:pPr>
      <w:r w:rsidRPr="00261746">
        <w:rPr>
          <w:rFonts w:cs="Times New Roman"/>
          <w:b/>
          <w:bCs/>
          <w:i/>
          <w:sz w:val="36"/>
          <w:szCs w:val="36"/>
          <w:rtl/>
          <w:lang w:bidi="ar-EG"/>
        </w:rPr>
        <w:t xml:space="preserve"> أ.د / محمد الأصمعي محروس</w:t>
      </w:r>
    </w:p>
    <w:p w:rsidR="00A52DCE" w:rsidRPr="007A02B0" w:rsidRDefault="00A52DCE" w:rsidP="00A52DCE">
      <w:pPr>
        <w:spacing w:after="0" w:line="240" w:lineRule="auto"/>
        <w:jc w:val="center"/>
        <w:rPr>
          <w:rFonts w:cs="Times New Roman"/>
          <w:b/>
          <w:bCs/>
          <w:i/>
          <w:sz w:val="36"/>
          <w:szCs w:val="36"/>
          <w:rtl/>
          <w:lang w:bidi="ar-EG"/>
        </w:rPr>
      </w:pPr>
      <w:r w:rsidRPr="007A02B0">
        <w:rPr>
          <w:rFonts w:cs="Times New Roman" w:hint="cs"/>
          <w:b/>
          <w:bCs/>
          <w:i/>
          <w:sz w:val="36"/>
          <w:szCs w:val="36"/>
          <w:rtl/>
          <w:lang w:bidi="ar-EG"/>
        </w:rPr>
        <w:t>كلية التربية - جامعة سوهاج</w:t>
      </w:r>
    </w:p>
    <w:p w:rsidR="00A52DCE" w:rsidRPr="00261746" w:rsidRDefault="00A52DCE" w:rsidP="0014148B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نعرض هنا بعض ما تم 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rtl/>
        </w:rPr>
        <w:t>الحصول عليه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بحوث ودراسات سابقة تتعلق </w:t>
      </w:r>
      <w:r w:rsidR="0014148B">
        <w:rPr>
          <w:rFonts w:asciiTheme="majorBidi" w:hAnsiTheme="majorBidi" w:cstheme="majorBidi" w:hint="cs"/>
          <w:b/>
          <w:bCs/>
          <w:sz w:val="28"/>
          <w:szCs w:val="28"/>
          <w:rtl/>
        </w:rPr>
        <w:t>بالشراكة المجتمعية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وإسهاماتها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التربية والتعليم حت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rtl/>
        </w:rPr>
        <w:t>ى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يتسن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rtl/>
        </w:rPr>
        <w:t>ى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معرفة ما تم عمله وما يجب 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rtl/>
        </w:rPr>
        <w:t>عمله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هذا المجال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وقد تم تصنيف الدراسات السابقة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أمكن الحصول عليها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محاور رئيسة ه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دراسات سابقة حول جهود التنظيمات المجتمعية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التنمية الثقافية والمهنية وتنمية عوامل الالتزام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المواطن،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جانب جهودها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ترشيد النفقات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التعليم، 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الحالة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تبحث فيها 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دراسة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أكثر من محور من هذه المحاور، تصنف هذه الدراسة السابقة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المحور الذ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عالجته بعمق أكثر من غيره.</w:t>
      </w:r>
    </w:p>
    <w:p w:rsidR="00A52DCE" w:rsidRPr="0014148B" w:rsidRDefault="00A52DCE" w:rsidP="00B92D3F">
      <w:pPr>
        <w:pStyle w:val="a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4148B">
        <w:rPr>
          <w:rFonts w:asciiTheme="majorBidi" w:hAnsiTheme="majorBidi" w:cstheme="majorBidi"/>
          <w:b/>
          <w:bCs/>
          <w:sz w:val="32"/>
          <w:szCs w:val="32"/>
          <w:rtl/>
        </w:rPr>
        <w:t>أولاً:  دراسات حول جهود التنظيمات المجتمعية في التنمية الثقافية</w:t>
      </w:r>
      <w:r w:rsidR="00B92D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</w:t>
      </w:r>
      <w:r w:rsidRPr="0014148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92D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14148B">
        <w:rPr>
          <w:rFonts w:asciiTheme="majorBidi" w:hAnsiTheme="majorBidi" w:cstheme="majorBidi"/>
          <w:b/>
          <w:bCs/>
          <w:sz w:val="32"/>
          <w:szCs w:val="32"/>
          <w:rtl/>
        </w:rPr>
        <w:t>والمهنية للأفراد:</w:t>
      </w:r>
    </w:p>
    <w:p w:rsidR="00A52DCE" w:rsidRPr="00261746" w:rsidRDefault="00A52DCE" w:rsidP="00A52DCE">
      <w:pPr>
        <w:pStyle w:val="a3"/>
        <w:rPr>
          <w:rFonts w:asciiTheme="majorBidi" w:hAnsiTheme="majorBidi" w:cstheme="majorBidi"/>
          <w:sz w:val="28"/>
          <w:rtl/>
        </w:rPr>
      </w:pPr>
      <w:r w:rsidRPr="00261746">
        <w:rPr>
          <w:rFonts w:asciiTheme="majorBidi" w:hAnsiTheme="majorBidi" w:cstheme="majorBidi"/>
          <w:sz w:val="28"/>
          <w:rtl/>
        </w:rPr>
        <w:t xml:space="preserve">تعددت الدراسات والبحوث السابقة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مجال إسهامات الاتحادات والمنظمات المهنية والجمعيات الأهلية والأحزاب السياسية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عمليات التنمية الثقافية والمهنية لأفراد المجتمع، ومن أهم هذه الدراسات السابقة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هذا المجال ما يل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>:</w:t>
      </w:r>
    </w:p>
    <w:p w:rsidR="00A52DCE" w:rsidRPr="00261746" w:rsidRDefault="00A52DCE" w:rsidP="007A02B0">
      <w:pPr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أ- دراسة (أمينة محمد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1990)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1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دراسة تحليلية لجهود الجمعيات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تربية الشباب.</w:t>
      </w:r>
      <w:r w:rsidR="0014148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التعرف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دور الجمعيات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تربية الشباب. 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تحديد أهم الجمعيات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قدمت خدمات تربوية وثقافية للشباب، والعلاقات ما بين هذه الجمعيات الأهلية وبين بقية المؤسسات التربوية النظامية، كما 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جمعية الشبان المسلمين كانت الرائدة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هذا المجال حيث ساهمت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تربية الشباب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ضوء الثقافة الإسلامية، إضافة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خدماتها المتميزة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المحافظة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البيئة.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ب-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واينر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Weiner, L.O, 1992)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الاتحادات والمنظمات المهنية للمعلمين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تحديد مجالات الرعاية الثقافية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تقدمها الاتحادات والمنظمات المهنية للمعلمين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للاتحادات والنقابات المهنية والعمالية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دوراً هاماً وحيوياً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تنمية النواح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الثقافية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أعضائها، كما أن الاتحادات المهنية للمعلمين هناك تشارك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تحديد أجور المعلمين  وتقدير معاشاتهم، وتحديد حجم الفصول والمشاركة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صنع القرار المدرس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جانب المشاركة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النواح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الاجتماعية والصحية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أعضاء هذه المنظمات المهنية الأمريكية.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ج- دراسة ( نانس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Nancy, Z.P. 1993)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3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وعنوانها: المنظمة المهنية ومعلومات العمر الزمن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: الاتجاهات نحو التكنولوجيا.</w:t>
      </w:r>
    </w:p>
    <w:p w:rsidR="00A52DCE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تحديد إسهامات المنظمات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السويد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ترقية الثقافات والاتجاهات نحو التكنولوجيا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الأعضاء عبر الزمن. 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المنظمات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السويد تسهم بشكل فعال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تعميق المعارف والاتجاهات نحو التكنولوجيا وأساليبها الحديثة، كما تقوم بتدريب أعضائها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كيفية استخدام هذه التطبيقات التكنولوجية. كما تسهم هذه المنظمات المهنية بدور واضح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التقدم التكنولوج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السويد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خلال تشجيع الابتكارات العلمية بين الأعضاء، كما تطالب هذه المنظمات المهنية بإدخال أحدث الأساليب التكنولوجية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مواقع الإنتاج، وتعويد الأعضاء وترقية ثقافاتهم المهنية.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د - دراسة ( صبح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شعبان شرف، 1994)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4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وعنوانها: الإسهامات التربوية للجمعيات الأهلية بمحافظة المنوفية- دراسة وصفية تقويمية.</w:t>
      </w:r>
    </w:p>
    <w:p w:rsidR="00A52DCE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التعرف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الإسهامات التربوية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قامت بها الجمعيات الأهلية بمحافظة المنوفية،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جانب تحديد المشكلات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تحول دون تحقيقها لأهدافها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محاولة لوضع المقترحات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تسهم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حل هذه المشكلات،وقد 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حاجة الجمعيات الأهلية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تنشيط وتفعيل وتنسيق الأنشطة الثقافية المختلفة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تقوم بها هذه الجمعيات الأهلية، وطالبت هذه الدراسة بضرورة زيادة الدعم الحكوم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نظير زيادة الجهود الثقافية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يمكن أن تضطلع بها هذه الجمعيات الأهلية وتقدمها لأعضائها والمنتسبين إليها.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هـ-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كاينر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</w:rPr>
        <w:t>Kinneer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</w:rPr>
        <w:t>, J.W, 1994)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5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تدعيم منظمة التدريب المهن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لبرامج التربية المستمرة.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تحديد الدور التربو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لمنظمات التدريب المهن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تجاه الأعضاء المنتمين إليها بالولايات المتحدة الأمريكية، 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منظمات التدريب المهن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ولاية (بنسلفانيا) الأمريكية قامت بدور مؤثر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التربية المستمرة للأعضاء المنتمين إليها وذلك من خلال تنمية اتجاهات أعضائها وميولهم نحو التثقيف المستمر،والتعرف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أنواع الهوايات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يفضلها الأعضاء والاهتمام بها، وإقامة المسابقات الثقافية فيما بين الأعضاء،وتقديم ألوان من الأنماط الثقافية العامة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و- دراسة (سعيد جميل سليمان، 1996)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6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تنشيط دور الجمعيات غير الحكومية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التعليم قبل الجامع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- دراسة استكشافية.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التوصل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الأساليب الفعالة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تنشيط الجهود التربوية للجمعيات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مراحل التعليم قبل الجامع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 وتوصلت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هناك قصوراً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مؤسسات رعاية الطفولة التابعة للجمعيات الأهلية، كما أن هناك انخفاض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المستو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التعليم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والتدريب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للمعلمات والمشرفات بدور الحضانة ورياض الأطفال، وأن الإشراف الفن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الكثير من هذه الدور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التابع للجمعيات الأهلية يعان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القصور وغياب المتابعة وتمركز الخدمات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يد رئيس مجلس الإدارة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هذه الجمعيات الأهلية.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ز- دراسة (أحمد حسين الصغير، 1997)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7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الدور التربو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للأحزاب السياسية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المصر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تحديد بعض الممارسات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تشكل الدور التربو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للأحزاب السياسية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المصر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تثقيف الأفراد، وذلك فيما يتعلق بقضايا تربوية هامة ه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التربية الدينية والتربية الاقتصادية والتربية السياسية والتربية البيئية ومحو الأمية وديمقراطية التعليم والتربية السكانية والتربية لاستثمار وقت الفراغ،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الأحزاب السياسية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 تقوم بدور محدود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الخدمات التربوية والثقافية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تقدم لأفراد المجتمع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كل من المجال الدين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والسياس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والاقتصاد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والتعليم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والبيئ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والسكان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والترويح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وذلك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بشت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الطرق والوسائط التربوية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تمتلكها هذه الأحزاب السياسية ومنها الصحافة الحزبية، ومعسكرات الشباب وغيرها من الوسائط التربوية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تسهم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تثقيف الأفراد، كما تبين أنه لا يوجد تعاون بين الأحزاب السياسية ومؤسسات التربية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الأخر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التنمية الثقافية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الأفراد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المصر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ح- دراسة ( لينك 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</w:rPr>
        <w:t>Lenk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</w:rPr>
        <w:t>, M.M, 1997)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8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المعارف والمهارات المكتسبة أثناء خدمات التعلم: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استراتيجية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مثمرة بين الجامعات والتنظيمات المهنية.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تحديد دور التنظيمات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برامج التعليم والتأهيل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الأفراد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مراحل التعليم المختلفة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 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التنظيمات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ولاية ميتشجان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(Michigan)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الأمريكية شاركت الجامعات بشكل فعال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برامج التعليم والتدريب والتأهيل، 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الارتقاء بالجوانب الثقافية 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التنمية المهنية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الأفراد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مراحل تعليمهم المختلفة، وأيضاً بعد انتهاء هؤلاء الأفراد من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التمدرس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والتحاقهم بسوق العمل.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ط- دراسة (هنر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وآخرون)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Henry, A.P et. al.)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9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وعنوانها: تحسين برامج إعداد القادة من خلال الشراكة بين المدرسة والجامعة والمنظمة المهنية.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تحديد الوضع الأمثل لبرامج إعداد القادة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المهن والمؤسسات الإنتاجية المختلفة.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أهمية أن تشارك المنظمات المهنية المدارس والجامعات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إعداد البرامج اللازمة للارتقاء بمستو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إعداد القادة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المهن والمؤسسات الإنتاجية المختلفة، حيث تستطيع المنظمات المهنية المشاركة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تنمية قدرات هؤلاء القادة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كيفية التعامل مع الآخرين وقيادتهم وتوجيههم وإكسابهم المعارف والمعلومات اللازمة لنجاح هؤلاء القادة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العمل الميدان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وايت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White, M.D, 1998)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10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إحصاءات تاريخية للولايات المتحدة الأمريكية: دراسة حالة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منظمات مهنية حكومية.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استهدفت هذه الدراسة توضيح أدوار المنظمات المهنية الحكومية تجاه الأفراد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الولايات المتحدة الأمريكية عبر التاريخ.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رؤية تفيد أن للمنظمات المهنية الأمريكية دوراً مؤثراً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حياة الأعضاء المنتمين إليها، ولها دور فعال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أسلوب معيشتهم وثقافاتهم ومعارفهم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مدار المراحل التاريخية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ك- دراسة (عدل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أبو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طاحون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1998)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11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دور الجمعيات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صيانة البيئة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–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دراسة للواقع المصر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 التطبيق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إحد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محافظة كفر الشيخ.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الدراسة التعرف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أوضاع الجمعيات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 والتطور التاريخ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لنشأتها،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جانب محاولة استجلاء الدور الذ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تلعبه هذه المنظمات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صيانة البيئة بصفة عامة وصيانة البيئة الريفية بصفة خاصة،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ضعف الدور الذ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تلعبه الجمعيات الأهلية بصفة عامة، والجمعيات البيئية بصفة خاصة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حماية البيئة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وصيانتها. وأوصت هذه الدراسة بأن مشكلات البيئة لا يمكن حلها بدون المشاركات النشيطة من أفراد المجتمعات المحلية.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ل- دراسة (إيهاب أحمد مدحت، 2000)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 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>12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إسهامات تكنولوجيا المعلومات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تفعيل أداء المنظمات الأهلية.</w:t>
      </w:r>
    </w:p>
    <w:p w:rsidR="00B92D3F" w:rsidRDefault="00A52DCE" w:rsidP="00B92D3F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التوصل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إنشاء قاعدة بيانات للمنظمات الأهلية توفر البيانات والإحصاءات اللازمة  لدراسات الجمعيات والمؤسسات الأهلية. 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غياب التدريب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مهارات الحاسب الآل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وغياب وحدات المعلومات والتعامل مع شبكة الانترنيت بشكل أعمق. وتوصلت هذه الدراسة أيضاً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غياب شبكة معلومات تربط بين الجمعيات والمؤسسات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مصر، ومن ثم لا يتم تبادل الأفكار والآراء والمعلومات والأبحاث بين هذه المنظمات الأهلية.</w:t>
      </w:r>
    </w:p>
    <w:p w:rsidR="00A52DCE" w:rsidRPr="00261746" w:rsidRDefault="00A52DCE" w:rsidP="00B92D3F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م- دراسة (عبد السلام محمد الصباغ، 2001م)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13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تفعيل دور الجمعيات الأهلية المصرية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التعليم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ضوء خبرات بعض الدول المتقدمة.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تقديم تصور مقترح لتفعيل أدوار الجمعيات الأهلية المصرية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بعض الأنشطة الثقافية والتعليمية مثل تفعيل ثقافة المواطن، والنشاطات الثقافية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تقوم بها الجمعيات الأهلية المصرية مقارنة بنماذج للجمعيات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الولايات المتحدة الأمريكية والمملكة المتحدة للاستفادة من تجاربها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تفعيل الدور التعليم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والثقا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للجمعيات الأهلية المصرية. وقد توصلت الدراسة الحالية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نجاح بعض الجمعيات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برامج محو الأمية وتعليم الكبار،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الوقت الذ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تسيدت فيه جوانب قصور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فلسفة العمل التطوع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وتباينه بتمايز محافظات الجمهورية،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جانب صعوبات تواجه إشكالية تمويل المنظمات الأهلية المصرية وقصور الثقافة الشعبية بأهمية العمل الأهل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وندرة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الخبرات التدريسية للعاملين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المجال التطوع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وقد أثر هذا كله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ندرة الأنشطة الثقافية والتعليمية للجمعيات الأهلية، ولم تستطع الجمعيات الأهلية أن تؤد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دوراً ملموساً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عمليات التنمية الثقافية 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حل بعض المشكلات التربوية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تعتر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نظامنا التعليم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مشكلة الدروس الخصوصية.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ن- دراسة (من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السالوس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سحر عبد الرحمن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الصديق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2001)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14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الوقف ودوره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الحياة العلمية والتعليمية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العالم الإسلام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..</w:t>
      </w:r>
    </w:p>
    <w:p w:rsidR="00A52DCE" w:rsidRPr="00261746" w:rsidRDefault="00A52DCE" w:rsidP="00A52DCE">
      <w:pPr>
        <w:pStyle w:val="a3"/>
        <w:rPr>
          <w:rFonts w:asciiTheme="majorBidi" w:hAnsiTheme="majorBidi" w:cstheme="majorBidi"/>
          <w:sz w:val="28"/>
          <w:rtl/>
        </w:rPr>
      </w:pPr>
      <w:r w:rsidRPr="00261746">
        <w:rPr>
          <w:rFonts w:asciiTheme="majorBidi" w:hAnsiTheme="majorBidi" w:cstheme="majorBidi"/>
          <w:sz w:val="28"/>
          <w:rtl/>
        </w:rPr>
        <w:t>استهدفت الدراسة الوقوف عل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الدور الذ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قدمته مؤسسات الأوقاف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مجال العلم والتعليم عبر العصور الإسلامية، ثم التدرج بذلك للتعرف عل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الدور الحال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للوقف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بلاد العالم العرب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والإسلام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>، وكيف يمكن تفعيل دوره العلم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والتعليم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الوقت الراهن؟. وقد توصلت الدراسة الحالية إل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رؤية تفيد اضمحلال دور مؤسسات الأوقاف حالياً والقصور الواضح عن أداء الكثير من الخدمات الت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كانت تقدمها عل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مر العصور الإسلامية وذلك بعد صدور العديد من القرارات السياسية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أغلب الدول الإسلامية بتقييد وظائف الأوقاف وقصرها عل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بناء المساجد وبعض الأعمال الخيرية </w:t>
      </w:r>
      <w:proofErr w:type="spellStart"/>
      <w:r w:rsidRPr="00261746">
        <w:rPr>
          <w:rFonts w:asciiTheme="majorBidi" w:hAnsiTheme="majorBidi" w:cstheme="majorBidi"/>
          <w:sz w:val="28"/>
          <w:rtl/>
        </w:rPr>
        <w:t>الأخر</w:t>
      </w:r>
      <w:r>
        <w:rPr>
          <w:rFonts w:asciiTheme="majorBidi" w:hAnsiTheme="majorBidi" w:cstheme="majorBidi"/>
          <w:sz w:val="28"/>
          <w:rtl/>
        </w:rPr>
        <w:t>ي</w:t>
      </w:r>
      <w:proofErr w:type="spellEnd"/>
      <w:r w:rsidRPr="00261746">
        <w:rPr>
          <w:rFonts w:asciiTheme="majorBidi" w:hAnsiTheme="majorBidi" w:cstheme="majorBidi"/>
          <w:sz w:val="28"/>
          <w:rtl/>
        </w:rPr>
        <w:t xml:space="preserve">. وقد ظهرت </w:t>
      </w:r>
      <w:proofErr w:type="spellStart"/>
      <w:r w:rsidRPr="00261746">
        <w:rPr>
          <w:rFonts w:asciiTheme="majorBidi" w:hAnsiTheme="majorBidi" w:cstheme="majorBidi"/>
          <w:sz w:val="28"/>
          <w:rtl/>
        </w:rPr>
        <w:t>مجهودات</w:t>
      </w:r>
      <w:proofErr w:type="spellEnd"/>
      <w:r w:rsidRPr="00261746">
        <w:rPr>
          <w:rFonts w:asciiTheme="majorBidi" w:hAnsiTheme="majorBidi" w:cstheme="majorBidi"/>
          <w:sz w:val="28"/>
          <w:rtl/>
        </w:rPr>
        <w:t xml:space="preserve"> من الحكومات والأهال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المجتمعات الإسلامية تناد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بإحياء الدور التعليم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لمؤسسات الأوقاف، وقدمت هذه الدراسة عدة مقترحات لتفعيل الدور العلم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والتعليم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للوقف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العالم الإسلام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>.</w:t>
      </w:r>
    </w:p>
    <w:p w:rsidR="00A52DCE" w:rsidRPr="0014148B" w:rsidRDefault="00A52DCE" w:rsidP="00A52DCE">
      <w:pPr>
        <w:pStyle w:val="a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4148B">
        <w:rPr>
          <w:rFonts w:asciiTheme="majorBidi" w:hAnsiTheme="majorBidi" w:cstheme="majorBidi"/>
          <w:b/>
          <w:bCs/>
          <w:sz w:val="32"/>
          <w:szCs w:val="32"/>
          <w:rtl/>
        </w:rPr>
        <w:t>ثانياً: دراسات حول التزامات التنظيمات المجتمعية تجاه الأفراد:</w:t>
      </w:r>
    </w:p>
    <w:p w:rsidR="00A52DCE" w:rsidRPr="00261746" w:rsidRDefault="00A52DCE" w:rsidP="00A52DCE">
      <w:pPr>
        <w:pStyle w:val="a3"/>
        <w:rPr>
          <w:rFonts w:asciiTheme="majorBidi" w:hAnsiTheme="majorBidi" w:cstheme="majorBidi"/>
          <w:sz w:val="28"/>
          <w:rtl/>
        </w:rPr>
      </w:pPr>
      <w:r w:rsidRPr="00261746">
        <w:rPr>
          <w:rFonts w:asciiTheme="majorBidi" w:hAnsiTheme="majorBidi" w:cstheme="majorBidi"/>
          <w:sz w:val="28"/>
          <w:rtl/>
        </w:rPr>
        <w:t xml:space="preserve">اهتمت الدراسات السابقة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هذا المحور بمد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إسهامات النقابات المهنية والعمالية والاتحادات المحلية والجمعيات الأهلية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التزاماتها المتعددة تجاه أعضائها والمنتسبين إليها، وأهم هذه الدراسات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هذا المجال ما يل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>:</w:t>
      </w:r>
    </w:p>
    <w:p w:rsidR="00A52DCE" w:rsidRPr="00261746" w:rsidRDefault="00A52DCE" w:rsidP="007A02B0">
      <w:pPr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أ - دراسة ( منظمة التعاون الاقتصاد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="001E081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والتنمية)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15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(Organization for Economic Cooperation and Development, 1991)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التعليم العال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والوظيفة: العلاقات المتغيرة للتنمية الحديثة بالتربية المهنية المستمرة.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تحديد علاقات التنمية بالتربية المهنية المستمرة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كل من (فرنسا وفنلندا) ومد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التزام النقابات المهنية والعمالية بفرنسا وفنلندا بالتنمية المهنية للأفراد،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هذه النقابات المهنية والعمالية ملتزمة بالمشاركة مع الجامعات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اهتمامها بالتربية المهنية المتواصلة لأعضائها، كما أن هذه النقابات ملتزمة بتنمية معرفة أعضائها بالتطورات التكنولوجية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المجالات العملية. وقد تفوقت النقابات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المهنية والعمالية الفرنسية عن مثيلتها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فنلندا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حجم الالتزام بهذه الجوانب من الاهتمامات.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ب-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كليبورن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</w:rPr>
        <w:t>Cleborne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</w:rPr>
        <w:t>, D.M.,1991)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16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الروابط المهنية والتكنولوجيا وتدريب المعلمين كعناصر رئيسة للمعرفة.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توضيح مد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التزام الروابط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إنجلترا بإثارة الحوافز لتملك المعرفة بين أفراد المجتمع.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الروابط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إنجلترا أسهمت بدور فعال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الاهتمام بتشجيع الاكتشافات العلمية وتنمية أنماط التفكير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الابتكار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الأفراد بصفة عامة والمعلمين بصفة خاصة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اعتبار أن هؤلاء المعلمين ملتزمون بنقل هذه المهارات والمعارف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طلابهم فيما بعد،وقد أوضحت هذه الدراسة أن الروابط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إنجلترا ملتزمة بإصدار بعض المجلات والنشرات العلمية والثقافية والعلمية والتكنولوجية كما أنها ملتزمة بتزويد أعضائها بها.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ج-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سبرنج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Spring, J.H., 1992)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17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وعنوانها: تأثير الاتحاد المحل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للمعلمين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السياسة والتطبيق التربو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A52DCE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تحديد مد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تأثير الاتحادات المحلية للمعلمين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الولايات المتحدة الأمريكية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تهيئة الظروف لنمو المهنة وتأصيل قيمها.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اتحاد المعلمين بالولايات المتحدة الأمريكية يعمل بمثابة المدافع عن حقوق هؤلاء المعلمين، كما تسهم هذه الاتحادات بدور تربو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وثقا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واضح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أعضائها، حيث تلتزم بالعمل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ترسيخ مبادئ القيم الأخلاقية، وإيجاد أفضل السبل لنمو مهن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مستمر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هؤلاء المعلمين من أجل تحقيق جوانب الالتزام وتأصيل قيم الانضباط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مدارس الولايات المتحدة الأمريكية.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د - دراسة (رمضان أحمد عبد الحميد، 1992)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18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المؤسسات الاجتماعية والمهنية ودورها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التنمية.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تحديد أدوار المؤسسات الاجتماعية والمهنية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مجالات التنمية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ضوء التغيرات والتحولات الجارية والمستقبلية،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النقابات المهنية والعمالية المصرية تقوم بتنمية معارف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ومهارات أعضائها، وتوعيتهم المستمرة بمبادئ الالتزام المهن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لمسايرة التغيرات والتحولات وعدم التخلف عنها،ويتحقق هذا الهدف عن طريق المؤتمرات والندوات والحلقات الدراسية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تعقدها هذه النقابات المهنية والعمالية، ومن خلال المطبوعات والنشرات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تصدرها النقابات المهنية والعمالية المختلفة.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هـ-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جريمت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</w:rPr>
        <w:t>Grimmett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</w:rPr>
        <w:t>, P.P., 1992)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19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قضايا واتجاهات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تدريب المعلمين الكنديين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الإنجليزية.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معرفة دور النقابات المهنية والعمالية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كندا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تنمية مهارات الالتزام لد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المعلمين القائمين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تدريس اللغة الإنجليزية بمدارسها،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النقابات المهنية والعمالية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كندا تشارك الحكومة الكندية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مسألة إعداد معلم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اللغة الإنجليزية والمهارات اللازمة لتعيينهم وسبل ترقيتهم، كما أن هذه النقابات المهنية والعمالية تساند هؤلاء المعلمين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المراحل التعليمية المختلفة وترع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شئونهم وتعودهم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مبادئ الالتزام العامة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التربية والتعليم.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و- دراسة (أمان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قنديل،وسارة بن نفيسة، 1995)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20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الجمعيات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مصر.</w:t>
      </w:r>
    </w:p>
    <w:p w:rsidR="00A52DCE" w:rsidRDefault="00A52DCE" w:rsidP="00A52DCE">
      <w:pPr>
        <w:ind w:firstLine="509"/>
        <w:jc w:val="lowKashida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تقديم وصف للجمعيات الأهلية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 من حيث تاريخها والتشريعات الحاكمة لها ومصادر تمويلها والأدوار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تقوم بها والمشكلات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تواجهها. توصلت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الجمعيات الدينية ه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أنشط الجمعيات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مجال العمل التطوع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التزام أعضائها بقواعد هذا العمل،وأن علاقة هذه الجمعيات بالسلطة الحاكمة تحدد مدة بقاء هذه الجمعيات أو زوال أنشطتها.</w:t>
      </w:r>
    </w:p>
    <w:p w:rsidR="001E081F" w:rsidRPr="00261746" w:rsidRDefault="001E081F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ز- دراسة (عبد الله حن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خليفة، 1997)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21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دور النقابات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الحياة الدستورية: دراسة مقارنة.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 هذه الدراسة مقارنة دور النقابات المهنية والعمالية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الحياة الدستورية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كل من مصر والولايات المتحدة الأمريكية وفرنسا.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نتائج أهمها أن النقابات المهنية والعمالية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 دورها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محدود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المشاركة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اقتراح ومناقشة التشريعات والقوانين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تمس مصالح الجماهير العريضة المنتمية إليها، وأيضاً للنقابات المهنية دور محدود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وضع الالتزامات الأساسية للحياة النقابية والمهنية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مصر، عكس الدور الفعال للنقابات المهنية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كل من الولايات المتحدة الأمريكية وفرنسا، فالالتزامات المهنية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تصدر بها تشريعات تخرج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الغالب من اقتراحات الجماهير العريضة المنتمية لتلك النقابات المهنية والعمالية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كل من الولايات المتحدة الأمريكية وفرنسا.</w:t>
      </w:r>
    </w:p>
    <w:p w:rsidR="00A52DCE" w:rsidRDefault="00A52DCE" w:rsidP="00B92D3F">
      <w:pPr>
        <w:pStyle w:val="a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2D3F">
        <w:rPr>
          <w:rFonts w:asciiTheme="majorBidi" w:hAnsiTheme="majorBidi" w:cstheme="majorBidi"/>
          <w:b/>
          <w:bCs/>
          <w:sz w:val="32"/>
          <w:szCs w:val="32"/>
          <w:rtl/>
        </w:rPr>
        <w:t>ثالثاً: دراسات حول جهود التنظيمات المجتمعية لترشيد الإنفاق في مجال التعليم:جاءت دراسات عديدة في هذا المحور أهمها:</w:t>
      </w:r>
    </w:p>
    <w:p w:rsidR="00B92D3F" w:rsidRPr="00B92D3F" w:rsidRDefault="00B92D3F" w:rsidP="00B92D3F">
      <w:pPr>
        <w:pStyle w:val="a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52DCE" w:rsidRPr="00261746" w:rsidRDefault="00A52DCE" w:rsidP="007A02B0">
      <w:pPr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أ 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كوتزنير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</w:rPr>
        <w:t>Kutzner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</w:rPr>
        <w:t>, P.L., 1992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22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وعنوانها: من الذ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يقاوم الجوع: دليل التنظيمات من أجل التربية والدفاع عنها.</w:t>
      </w:r>
    </w:p>
    <w:p w:rsidR="00A52DCE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توضيح أهم </w:t>
      </w:r>
      <w:r w:rsidR="0014148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البحوث </w:t>
      </w:r>
      <w:proofErr w:type="spellStart"/>
      <w:r w:rsidR="0014148B">
        <w:rPr>
          <w:rFonts w:asciiTheme="majorBidi" w:hAnsiTheme="majorBidi" w:cstheme="majorBidi"/>
          <w:b/>
          <w:bCs/>
          <w:sz w:val="28"/>
          <w:szCs w:val="28"/>
          <w:rtl/>
        </w:rPr>
        <w:t>العلمية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والمهنية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تقاوم الفقر والجوع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العالم.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تزايد التوجهات العالمية من خلال </w:t>
      </w:r>
      <w:r w:rsidR="0014148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البحوث </w:t>
      </w:r>
      <w:proofErr w:type="spellStart"/>
      <w:r w:rsidR="0014148B">
        <w:rPr>
          <w:rFonts w:asciiTheme="majorBidi" w:hAnsiTheme="majorBidi" w:cstheme="majorBidi"/>
          <w:b/>
          <w:bCs/>
          <w:sz w:val="28"/>
          <w:szCs w:val="28"/>
          <w:rtl/>
        </w:rPr>
        <w:t>العلمية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والمهنية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المتعددة لدعم قضايا التعليم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العالم، ومن بين هذه التنظيمات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تلعب دوراً هاماً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هذا الصدد منظمات الأمم المتحدة، والمنظمات الحكومية الدولية والوكالات الفيدرالية بالولايات المتحدة الأمريكية، والمنظمات غير الحكومية بها ووكالات دولية أخر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عديدة.</w:t>
      </w: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ب-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أرون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</w:rPr>
        <w:t>Aron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</w:rPr>
        <w:t>, A.J., 1997)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23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تحليل نماذج ومصادر التمويل للتعليم الأساس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بولاية فيرجينيا بالولايات المتحدة الأمريكية.</w:t>
      </w:r>
    </w:p>
    <w:p w:rsidR="00A52DCE" w:rsidRDefault="00A52DCE" w:rsidP="00A52DCE">
      <w:pPr>
        <w:ind w:firstLine="509"/>
        <w:jc w:val="lowKashida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توضيح سياسات التعليم الأساس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ومد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نجاحها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جذب التمويل من المصادر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الأخر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للإنفاق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التعليم مثل الأفراد والهيئات والمؤسسات الخيرية والهيئات المحبة لعمل الإحسان. كما هدفت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تطوير عملية فهم اشتراك الهيئات المتواجدة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تقديم خدمات تعليمية للكبار ومصادر تمويلها وأنماط هذا التمويل وذلك عن طريق تحديد هوية الممولين وسبب قيامهم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بالمساهمات المالية للهيئات التعليمية المتواجدة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المجتمع،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أهم مصدر دخل بالنسبة لهذه الخدمات التعليمية للكبار- بجانب إسهامات الحكومات المحلية والفيدرالية والرسوم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يتم تحصيلها من الدارسين بهذه البرامج التعليمية- ه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إسهامات الجمعيات الأهلية المتواجدة بهذه الولاية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1E081F" w:rsidRPr="00261746" w:rsidRDefault="001E081F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52DCE" w:rsidRPr="00261746" w:rsidRDefault="00A52DCE" w:rsidP="007A02B0">
      <w:pPr>
        <w:spacing w:before="240" w:line="228" w:lineRule="auto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ج-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برا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ومورا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Bray, M., and Murray, T., 1998)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24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وعنوانها: تمويل التعليم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إندونيسيا.</w:t>
      </w:r>
    </w:p>
    <w:p w:rsidR="00A52DCE" w:rsidRPr="00261746" w:rsidRDefault="00A52DCE" w:rsidP="00A52DCE">
      <w:pPr>
        <w:spacing w:line="228" w:lineRule="auto"/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تحديد مصادر تمويل التعليم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إندونيسيا. 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أهم مصادر تمويل التعليم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إندونيسيا ه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الحكومة والتمويل الشعب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. وقد أد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هذا التعاون بين الحكومة ومع أولياء الأمور والجمعيات الشعبية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زيادة دور أولياء الأمور والمجتمعات المحلية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مساءلة إدارات المدارس عن أوجه الأنشطة التعليمية والتمويل اللازم لها، كما أوضحت هذه الدراسة أن زيادة إسهامات الجمعيات الشعبية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الإنفاق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التعليم أد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زيادة عدم تكافؤ الفرص التعليمية بين المناطق الجغرافية المختلفة بإندونيسيا،كما أد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هذا الأمر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زيادة هيمنة الأغنياء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صنع القرار التربو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داخل هذه المدارس.</w:t>
      </w:r>
    </w:p>
    <w:p w:rsidR="00A52DCE" w:rsidRPr="00261746" w:rsidRDefault="00A52DCE" w:rsidP="007A02B0">
      <w:pPr>
        <w:spacing w:before="240" w:line="228" w:lineRule="auto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د - دراسة (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راندل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261746">
        <w:rPr>
          <w:rFonts w:asciiTheme="majorBidi" w:hAnsiTheme="majorBidi" w:cstheme="majorBidi"/>
          <w:b/>
          <w:bCs/>
          <w:sz w:val="28"/>
          <w:szCs w:val="28"/>
        </w:rPr>
        <w:t>Randall, B.M., 1998)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25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إعادة تنظيم لعلاقات المنظمات المهنية غير الحكومية بالمدارس الابتدائية.</w:t>
      </w:r>
    </w:p>
    <w:p w:rsidR="00A52DCE" w:rsidRPr="00261746" w:rsidRDefault="00A52DCE" w:rsidP="00A52DCE">
      <w:pPr>
        <w:spacing w:line="228" w:lineRule="auto"/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استهدفت هذه الدراسة إعادة تنظيم الروابط بين المنظمات المهنية الحكومية والمنظمات المهنية غير الحكومية تجاه المدارس الابتدائية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المجتمع الأمريك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،وتوصلت هذه الدراسة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أن المنظمات المهنية الحكومية تشارك المنظمات غير الحكومية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رعاية شئون المدارس الابتدائية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المناطق المحلية،وتعمل عل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ربط هذه المدارس واهتماماتها باحتياجات المجتمع المحل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ومشكلاته وقضاياه المعاصرة.</w:t>
      </w:r>
    </w:p>
    <w:p w:rsidR="00A52DCE" w:rsidRPr="00261746" w:rsidRDefault="00A52DCE" w:rsidP="007A02B0">
      <w:pPr>
        <w:spacing w:before="240" w:line="228" w:lineRule="auto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هـ- دراسة (سوزان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سواب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1999)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26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تنمية المشاركة بين البيت والمدرسة: من المفاهيم إل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التطبيق.</w:t>
      </w:r>
    </w:p>
    <w:p w:rsidR="00A52DCE" w:rsidRDefault="00A52DCE" w:rsidP="00A52DCE">
      <w:pPr>
        <w:pStyle w:val="a3"/>
        <w:spacing w:line="228" w:lineRule="auto"/>
        <w:rPr>
          <w:rFonts w:asciiTheme="majorBidi" w:hAnsiTheme="majorBidi" w:cstheme="majorBidi"/>
          <w:sz w:val="28"/>
          <w:rtl/>
        </w:rPr>
      </w:pPr>
      <w:r w:rsidRPr="00261746">
        <w:rPr>
          <w:rFonts w:asciiTheme="majorBidi" w:hAnsiTheme="majorBidi" w:cstheme="majorBidi"/>
          <w:sz w:val="28"/>
          <w:rtl/>
        </w:rPr>
        <w:t xml:space="preserve">استهدفت هذه الدراسة توضيح أوجه مشاركة البيت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الأنشطة التعليمية بالمدارس من أجل ترشيد </w:t>
      </w:r>
      <w:proofErr w:type="spellStart"/>
      <w:r w:rsidRPr="00261746">
        <w:rPr>
          <w:rFonts w:asciiTheme="majorBidi" w:hAnsiTheme="majorBidi" w:cstheme="majorBidi"/>
          <w:sz w:val="28"/>
          <w:rtl/>
        </w:rPr>
        <w:t>الانفاقات</w:t>
      </w:r>
      <w:proofErr w:type="spellEnd"/>
      <w:r w:rsidRPr="00261746">
        <w:rPr>
          <w:rFonts w:asciiTheme="majorBidi" w:hAnsiTheme="majorBidi" w:cstheme="majorBidi"/>
          <w:sz w:val="28"/>
          <w:rtl/>
        </w:rPr>
        <w:t xml:space="preserve"> الحكومية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مجال التعليم. وتوصلت هذه الدراسة إل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تحديد هذه الأوجه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المشاركة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الإنفاق عل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التعليم ومنها جمع النقود الت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تمول مشروعات المدرسة، إل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جانب المشاركة</w:t>
      </w:r>
      <w:r>
        <w:rPr>
          <w:rFonts w:asciiTheme="majorBidi" w:hAnsiTheme="majorBidi" w:cstheme="majorBidi" w:hint="cs"/>
          <w:b w:val="0"/>
          <w:bCs w:val="0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إعداد بعض المواد التعليمية الت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يطلبها المعلمون من التلاميذ وتدعيم إنشاء الملاعب المدرسية بهذه المدارس.</w:t>
      </w:r>
    </w:p>
    <w:p w:rsidR="00B92D3F" w:rsidRDefault="00B92D3F" w:rsidP="00A52DCE">
      <w:pPr>
        <w:pStyle w:val="a3"/>
        <w:spacing w:line="228" w:lineRule="auto"/>
        <w:rPr>
          <w:rFonts w:asciiTheme="majorBidi" w:hAnsiTheme="majorBidi" w:cstheme="majorBidi"/>
          <w:sz w:val="28"/>
          <w:rtl/>
        </w:rPr>
      </w:pPr>
    </w:p>
    <w:p w:rsidR="001E081F" w:rsidRDefault="001E081F" w:rsidP="007A02B0">
      <w:pPr>
        <w:spacing w:before="240"/>
        <w:ind w:left="368" w:hanging="368"/>
        <w:jc w:val="lowKashida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52DCE" w:rsidRPr="00261746" w:rsidRDefault="00A52DCE" w:rsidP="007A02B0">
      <w:pPr>
        <w:spacing w:before="240"/>
        <w:ind w:left="368" w:hanging="368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و- دراسة (أحمد محمد نبو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، 2001)</w:t>
      </w:r>
      <w:r w:rsidR="007A02B0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(</w:t>
      </w:r>
      <w:r w:rsidR="007A02B0"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</w:rPr>
        <w:t xml:space="preserve"> 27</w:t>
      </w:r>
      <w:r w:rsidRPr="0026174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)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وعنوانها: بدائل مقترحة لتمويل التعليم الأساس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مصر لتحقيق الاستيعاب الكامل </w:t>
      </w:r>
      <w:proofErr w:type="spellStart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حت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proofErr w:type="spellEnd"/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عام 2017.</w:t>
      </w:r>
    </w:p>
    <w:p w:rsidR="00A52DCE" w:rsidRPr="00261746" w:rsidRDefault="00A52DCE" w:rsidP="00A52DCE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>استهدفت هذه الدراسة توضيح مشكلات تمويل التعليم الأساس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والعوامل الت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26174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تعيق تحقيق الاستيعاب الكامل لتلاميذ هذه المرحلة والبدائل المقترحة لتمويل هذا النوع من التعليم. </w:t>
      </w:r>
    </w:p>
    <w:p w:rsidR="00A52DCE" w:rsidRDefault="00A52DCE" w:rsidP="00B92D3F">
      <w:pPr>
        <w:pStyle w:val="a3"/>
        <w:rPr>
          <w:rFonts w:asciiTheme="majorBidi" w:hAnsiTheme="majorBidi" w:cstheme="majorBidi"/>
          <w:sz w:val="28"/>
          <w:rtl/>
        </w:rPr>
      </w:pPr>
      <w:r w:rsidRPr="00261746">
        <w:rPr>
          <w:rFonts w:asciiTheme="majorBidi" w:hAnsiTheme="majorBidi" w:cstheme="majorBidi"/>
          <w:sz w:val="28"/>
          <w:rtl/>
        </w:rPr>
        <w:t>أظهرت هذه الدراسة أن الإنفاق عل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التعليم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مصر يعان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من عدة صعوبات منها عدم كفاية الإنفاق الحكوم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المخصص للتعليم </w:t>
      </w:r>
      <w:r>
        <w:rPr>
          <w:rFonts w:asciiTheme="majorBidi" w:hAnsiTheme="majorBidi" w:cstheme="majorBidi"/>
          <w:sz w:val="28"/>
          <w:rtl/>
        </w:rPr>
        <w:t>في</w:t>
      </w:r>
      <w:r w:rsidRPr="00261746">
        <w:rPr>
          <w:rFonts w:asciiTheme="majorBidi" w:hAnsiTheme="majorBidi" w:cstheme="majorBidi"/>
          <w:sz w:val="28"/>
          <w:rtl/>
        </w:rPr>
        <w:t xml:space="preserve"> مصر، وضعف كفاءة تخصيص الموارد المالية الأخر</w:t>
      </w:r>
      <w:r w:rsidR="007A02B0">
        <w:rPr>
          <w:rFonts w:asciiTheme="majorBidi" w:hAnsiTheme="majorBidi" w:cstheme="majorBidi" w:hint="cs"/>
          <w:sz w:val="28"/>
          <w:rtl/>
        </w:rPr>
        <w:t>ى</w:t>
      </w:r>
      <w:r w:rsidRPr="00261746">
        <w:rPr>
          <w:rFonts w:asciiTheme="majorBidi" w:hAnsiTheme="majorBidi" w:cstheme="majorBidi"/>
          <w:sz w:val="28"/>
          <w:rtl/>
        </w:rPr>
        <w:t>، إضافة إل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مشكلات النفقات غير المباشرة الت</w:t>
      </w:r>
      <w:r>
        <w:rPr>
          <w:rFonts w:asciiTheme="majorBidi" w:hAnsiTheme="majorBidi" w:cstheme="majorBidi"/>
          <w:sz w:val="28"/>
          <w:rtl/>
        </w:rPr>
        <w:t>ي</w:t>
      </w:r>
      <w:r w:rsidRPr="00261746">
        <w:rPr>
          <w:rFonts w:asciiTheme="majorBidi" w:hAnsiTheme="majorBidi" w:cstheme="majorBidi"/>
          <w:sz w:val="28"/>
          <w:rtl/>
        </w:rPr>
        <w:t xml:space="preserve"> تتحملها الأسرة نتيجة إلحاق أبنائها بالتعليم</w:t>
      </w:r>
      <w:r w:rsidR="00B92D3F">
        <w:rPr>
          <w:rFonts w:asciiTheme="majorBidi" w:hAnsiTheme="majorBidi" w:cstheme="majorBidi" w:hint="cs"/>
          <w:sz w:val="28"/>
          <w:rtl/>
        </w:rPr>
        <w:t xml:space="preserve"> </w:t>
      </w:r>
      <w:r w:rsidRPr="00261746">
        <w:rPr>
          <w:rFonts w:asciiTheme="majorBidi" w:hAnsiTheme="majorBidi" w:cstheme="majorBidi"/>
          <w:sz w:val="28"/>
          <w:rtl/>
        </w:rPr>
        <w:t>.</w:t>
      </w:r>
    </w:p>
    <w:p w:rsidR="00B92D3F" w:rsidRDefault="00B92D3F" w:rsidP="00B92D3F">
      <w:pPr>
        <w:pStyle w:val="a3"/>
        <w:rPr>
          <w:rFonts w:asciiTheme="majorBidi" w:hAnsiTheme="majorBidi" w:cstheme="majorBidi"/>
          <w:sz w:val="28"/>
          <w:rtl/>
        </w:rPr>
      </w:pPr>
    </w:p>
    <w:p w:rsidR="00B92D3F" w:rsidRDefault="00B92D3F" w:rsidP="00B92D3F">
      <w:pPr>
        <w:pStyle w:val="a3"/>
        <w:rPr>
          <w:rFonts w:asciiTheme="majorBidi" w:hAnsiTheme="majorBidi" w:cstheme="majorBidi"/>
          <w:sz w:val="28"/>
          <w:rtl/>
        </w:rPr>
      </w:pPr>
    </w:p>
    <w:p w:rsidR="00B92D3F" w:rsidRDefault="00B92D3F" w:rsidP="00B92D3F">
      <w:pPr>
        <w:pStyle w:val="a3"/>
        <w:rPr>
          <w:rFonts w:asciiTheme="majorBidi" w:hAnsiTheme="majorBidi" w:cstheme="majorBidi"/>
          <w:sz w:val="28"/>
          <w:rtl/>
        </w:rPr>
      </w:pPr>
    </w:p>
    <w:p w:rsidR="00B92D3F" w:rsidRDefault="00B92D3F" w:rsidP="00B92D3F">
      <w:pPr>
        <w:pStyle w:val="a3"/>
        <w:rPr>
          <w:rFonts w:asciiTheme="majorBidi" w:hAnsiTheme="majorBidi" w:cstheme="majorBidi"/>
          <w:sz w:val="28"/>
          <w:rtl/>
        </w:rPr>
      </w:pPr>
    </w:p>
    <w:p w:rsidR="00B92D3F" w:rsidRDefault="00B92D3F" w:rsidP="00B92D3F">
      <w:pPr>
        <w:pStyle w:val="a3"/>
        <w:rPr>
          <w:rFonts w:asciiTheme="majorBidi" w:hAnsiTheme="majorBidi" w:cstheme="majorBidi"/>
          <w:sz w:val="28"/>
          <w:rtl/>
        </w:rPr>
      </w:pPr>
    </w:p>
    <w:p w:rsidR="00B92D3F" w:rsidRDefault="00B92D3F" w:rsidP="00B92D3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2D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الخلاصة حول </w:t>
      </w:r>
      <w:r w:rsidRPr="00B92D3F">
        <w:rPr>
          <w:rFonts w:asciiTheme="majorBidi" w:hAnsiTheme="majorBidi" w:cstheme="majorBidi"/>
          <w:b/>
          <w:bCs/>
          <w:sz w:val="32"/>
          <w:szCs w:val="32"/>
          <w:rtl/>
        </w:rPr>
        <w:t>بحوث إسهامات الشراكة المجتمعية</w:t>
      </w:r>
    </w:p>
    <w:p w:rsidR="00B92D3F" w:rsidRPr="00B92D3F" w:rsidRDefault="00B92D3F" w:rsidP="00B92D3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2D3F">
        <w:rPr>
          <w:rFonts w:asciiTheme="majorBidi" w:hAnsiTheme="majorBidi" w:cstheme="majorBidi"/>
          <w:b/>
          <w:bCs/>
          <w:sz w:val="32"/>
          <w:szCs w:val="32"/>
          <w:rtl/>
        </w:rPr>
        <w:t>في قضايا التعليم</w:t>
      </w:r>
      <w:r w:rsidRPr="00B92D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B92D3F">
        <w:rPr>
          <w:rFonts w:asciiTheme="majorBidi" w:hAnsiTheme="majorBidi" w:cstheme="majorBidi"/>
          <w:b/>
          <w:bCs/>
          <w:sz w:val="32"/>
          <w:szCs w:val="32"/>
          <w:rtl/>
        </w:rPr>
        <w:t>أين وإلي أين</w:t>
      </w:r>
      <w:r w:rsidRPr="00B92D3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؟</w:t>
      </w:r>
    </w:p>
    <w:p w:rsidR="00B92D3F" w:rsidRPr="007A02B0" w:rsidRDefault="00B92D3F" w:rsidP="00B92D3F">
      <w:pPr>
        <w:ind w:firstLine="509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أظهرت المقالة الحالية أن 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هناك أدوار هامة ينتظر أن تقوم بها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البحوث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والدراسات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العلمية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المجتمع الإنساني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خلال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تفعيل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ها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>إحداث التنمية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المجتمعية 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>، والوصول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خلال نتائجها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إلي مفهوم الشراكة المجتمعية المطلوبة في التنمية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وقد قدمت هذه الدراسات السابقة خدمة جليلة من أجل التوصل إلي كيفية تفعيل إسهامات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البحوث العلمية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لإحداث الشراكة المجتمعية الضرورية واللازمة في التنمية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، إضافة إلي توضيح 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جهود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هذه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البحوث العلمية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A02B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في دعم قضايا التعليم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B92D3F" w:rsidRPr="007A02B0" w:rsidRDefault="00B92D3F" w:rsidP="00B92D3F">
      <w:pPr>
        <w:pStyle w:val="a3"/>
        <w:jc w:val="left"/>
        <w:rPr>
          <w:rFonts w:asciiTheme="majorBidi" w:hAnsiTheme="majorBidi" w:cstheme="majorBidi"/>
          <w:sz w:val="28"/>
          <w:rtl/>
        </w:rPr>
      </w:pPr>
      <w:r w:rsidRPr="007A02B0">
        <w:rPr>
          <w:rFonts w:asciiTheme="majorBidi" w:hAnsiTheme="majorBidi" w:cstheme="majorBidi"/>
          <w:sz w:val="28"/>
          <w:rtl/>
        </w:rPr>
        <w:t>كما أشارت هذه الدراسات السابقة إلي ضرورة تنشيط وتفعيل المشاركة الأهلية مع الدعم الحكومي لقضايا التعليم</w:t>
      </w:r>
      <w:r>
        <w:rPr>
          <w:rFonts w:asciiTheme="majorBidi" w:hAnsiTheme="majorBidi" w:cstheme="majorBidi" w:hint="cs"/>
          <w:sz w:val="28"/>
          <w:rtl/>
        </w:rPr>
        <w:t xml:space="preserve"> </w:t>
      </w:r>
      <w:r w:rsidRPr="007A02B0">
        <w:rPr>
          <w:rFonts w:asciiTheme="majorBidi" w:hAnsiTheme="majorBidi" w:cstheme="majorBidi"/>
          <w:sz w:val="28"/>
          <w:rtl/>
        </w:rPr>
        <w:t>. كما أن التوجه نحو الخصخصة أدي إلي تقليص حجم الخدمات التعليمية المقدمة من الحكومات واستعاضتها بخدمات تقدمها المنظمات الدولية وغير الحكومية</w:t>
      </w:r>
      <w:r>
        <w:rPr>
          <w:rFonts w:asciiTheme="majorBidi" w:hAnsiTheme="majorBidi" w:cstheme="majorBidi" w:hint="cs"/>
          <w:sz w:val="28"/>
          <w:rtl/>
        </w:rPr>
        <w:t xml:space="preserve">  </w:t>
      </w:r>
      <w:r w:rsidRPr="007A02B0">
        <w:rPr>
          <w:rFonts w:asciiTheme="majorBidi" w:hAnsiTheme="majorBidi" w:cstheme="majorBidi"/>
          <w:sz w:val="28"/>
          <w:rtl/>
        </w:rPr>
        <w:t xml:space="preserve"> ومن ثم أصبحت الشراكة المجتمعية مطلب أساسي للإصلاح التعليمي الشامل</w:t>
      </w:r>
      <w:r>
        <w:rPr>
          <w:rFonts w:asciiTheme="majorBidi" w:hAnsiTheme="majorBidi" w:cstheme="majorBidi" w:hint="cs"/>
          <w:sz w:val="28"/>
          <w:rtl/>
        </w:rPr>
        <w:t xml:space="preserve"> </w:t>
      </w:r>
      <w:r w:rsidRPr="007A02B0">
        <w:rPr>
          <w:rFonts w:asciiTheme="majorBidi" w:hAnsiTheme="majorBidi" w:cstheme="majorBidi"/>
          <w:sz w:val="28"/>
          <w:rtl/>
        </w:rPr>
        <w:t xml:space="preserve">، وراحت </w:t>
      </w:r>
      <w:r>
        <w:rPr>
          <w:rFonts w:asciiTheme="majorBidi" w:hAnsiTheme="majorBidi" w:cstheme="majorBidi" w:hint="cs"/>
          <w:sz w:val="28"/>
          <w:rtl/>
        </w:rPr>
        <w:t xml:space="preserve">هذه </w:t>
      </w:r>
      <w:r w:rsidRPr="007A02B0">
        <w:rPr>
          <w:rFonts w:asciiTheme="majorBidi" w:hAnsiTheme="majorBidi" w:cstheme="majorBidi"/>
          <w:sz w:val="28"/>
          <w:rtl/>
        </w:rPr>
        <w:t xml:space="preserve">الدراسات السابقة تطرح أفكاراً هامةً </w:t>
      </w:r>
      <w:r w:rsidRPr="00B92D3F">
        <w:rPr>
          <w:rFonts w:asciiTheme="majorBidi" w:hAnsiTheme="majorBidi" w:cstheme="majorBidi" w:hint="cs"/>
          <w:b w:val="0"/>
          <w:bCs w:val="0"/>
          <w:sz w:val="28"/>
          <w:rtl/>
        </w:rPr>
        <w:t>-</w:t>
      </w:r>
      <w:r>
        <w:rPr>
          <w:rFonts w:asciiTheme="majorBidi" w:hAnsiTheme="majorBidi" w:cstheme="majorBidi" w:hint="cs"/>
          <w:sz w:val="28"/>
          <w:rtl/>
        </w:rPr>
        <w:t xml:space="preserve"> دونتها المقالة الحالية </w:t>
      </w:r>
      <w:r w:rsidRPr="00B92D3F">
        <w:rPr>
          <w:rFonts w:asciiTheme="majorBidi" w:hAnsiTheme="majorBidi" w:cstheme="majorBidi" w:hint="cs"/>
          <w:b w:val="0"/>
          <w:bCs w:val="0"/>
          <w:sz w:val="28"/>
          <w:rtl/>
        </w:rPr>
        <w:t>-</w:t>
      </w:r>
      <w:r>
        <w:rPr>
          <w:rFonts w:asciiTheme="majorBidi" w:hAnsiTheme="majorBidi" w:cstheme="majorBidi" w:hint="cs"/>
          <w:sz w:val="28"/>
          <w:rtl/>
        </w:rPr>
        <w:t xml:space="preserve"> </w:t>
      </w:r>
      <w:r w:rsidRPr="007A02B0">
        <w:rPr>
          <w:rFonts w:asciiTheme="majorBidi" w:hAnsiTheme="majorBidi" w:cstheme="majorBidi"/>
          <w:sz w:val="28"/>
          <w:rtl/>
        </w:rPr>
        <w:t>حول آليات الشراكة المجتمعية للتعاون من أجل النهوض بالتربية والتعليم</w:t>
      </w:r>
      <w:r>
        <w:rPr>
          <w:rFonts w:asciiTheme="majorBidi" w:hAnsiTheme="majorBidi" w:cstheme="majorBidi" w:hint="cs"/>
          <w:sz w:val="28"/>
          <w:rtl/>
        </w:rPr>
        <w:t xml:space="preserve"> </w:t>
      </w:r>
      <w:r w:rsidRPr="007A02B0">
        <w:rPr>
          <w:rFonts w:asciiTheme="majorBidi" w:hAnsiTheme="majorBidi" w:cstheme="majorBidi"/>
          <w:sz w:val="28"/>
          <w:rtl/>
        </w:rPr>
        <w:t>.</w:t>
      </w:r>
    </w:p>
    <w:p w:rsidR="00B92D3F" w:rsidRDefault="00B92D3F" w:rsidP="00B92D3F">
      <w:pPr>
        <w:pStyle w:val="a3"/>
        <w:rPr>
          <w:rFonts w:asciiTheme="majorBidi" w:hAnsiTheme="majorBidi" w:cstheme="majorBidi"/>
          <w:sz w:val="28"/>
          <w:rtl/>
        </w:rPr>
      </w:pPr>
    </w:p>
    <w:p w:rsidR="00B92D3F" w:rsidRPr="00E75F11" w:rsidRDefault="00B92D3F" w:rsidP="00B92D3F">
      <w:pPr>
        <w:spacing w:before="240"/>
        <w:ind w:left="397" w:hanging="397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75F11">
        <w:rPr>
          <w:rFonts w:asciiTheme="majorBidi" w:hAnsiTheme="majorBidi" w:cstheme="majorBidi" w:hint="cs"/>
          <w:sz w:val="32"/>
          <w:szCs w:val="32"/>
          <w:rtl/>
        </w:rPr>
        <w:t>-</w:t>
      </w:r>
      <w:r w:rsidRPr="00E75F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مراجع المقالة موجودة طرف كاتب هذه المقالة لمن يطلبها .</w:t>
      </w:r>
    </w:p>
    <w:p w:rsidR="00B92D3F" w:rsidRPr="00261746" w:rsidRDefault="00B92D3F" w:rsidP="00B92D3F">
      <w:pPr>
        <w:pStyle w:val="a3"/>
        <w:rPr>
          <w:rFonts w:asciiTheme="majorBidi" w:hAnsiTheme="majorBidi" w:cstheme="majorBidi"/>
          <w:sz w:val="28"/>
          <w:rtl/>
        </w:rPr>
      </w:pPr>
    </w:p>
    <w:sectPr w:rsidR="00B92D3F" w:rsidRPr="00261746" w:rsidSect="005433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6FE4"/>
    <w:multiLevelType w:val="hybridMultilevel"/>
    <w:tmpl w:val="9EE68C20"/>
    <w:lvl w:ilvl="0" w:tplc="504A8D00">
      <w:start w:val="1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52DCE"/>
    <w:rsid w:val="0014148B"/>
    <w:rsid w:val="001E081F"/>
    <w:rsid w:val="001F4CAF"/>
    <w:rsid w:val="00327D23"/>
    <w:rsid w:val="00543339"/>
    <w:rsid w:val="006D0006"/>
    <w:rsid w:val="007A02B0"/>
    <w:rsid w:val="008C0CAA"/>
    <w:rsid w:val="00A52DCE"/>
    <w:rsid w:val="00B92D3F"/>
    <w:rsid w:val="00C4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A52DCE"/>
    <w:pPr>
      <w:spacing w:after="0" w:line="240" w:lineRule="auto"/>
      <w:ind w:firstLine="465"/>
      <w:jc w:val="lowKashida"/>
    </w:pPr>
    <w:rPr>
      <w:rFonts w:ascii="Times New Roman" w:eastAsia="Times New Roman" w:hAnsi="Times New Roman" w:cs="Traditional Arabic"/>
      <w:b/>
      <w:bCs/>
      <w:i/>
      <w:sz w:val="26"/>
      <w:szCs w:val="28"/>
    </w:rPr>
  </w:style>
  <w:style w:type="character" w:customStyle="1" w:styleId="Char">
    <w:name w:val="نص أساسي بمسافة بادئة Char"/>
    <w:basedOn w:val="a0"/>
    <w:link w:val="a3"/>
    <w:semiHidden/>
    <w:rsid w:val="00A52DCE"/>
    <w:rPr>
      <w:rFonts w:ascii="Times New Roman" w:eastAsia="Times New Roman" w:hAnsi="Times New Roman" w:cs="Traditional Arabic"/>
      <w:b/>
      <w:bCs/>
      <w:i/>
      <w:sz w:val="26"/>
      <w:szCs w:val="28"/>
    </w:rPr>
  </w:style>
  <w:style w:type="paragraph" w:styleId="a4">
    <w:name w:val="Block Text"/>
    <w:basedOn w:val="a"/>
    <w:semiHidden/>
    <w:rsid w:val="00A52DCE"/>
    <w:pPr>
      <w:spacing w:before="240" w:after="0" w:line="240" w:lineRule="auto"/>
      <w:ind w:left="368" w:hanging="368"/>
      <w:jc w:val="lowKashida"/>
    </w:pPr>
    <w:rPr>
      <w:rFonts w:ascii="Times New Roman" w:eastAsia="Times New Roman" w:hAnsi="Times New Roman" w:cs="Monotype Kouf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10</cp:revision>
  <dcterms:created xsi:type="dcterms:W3CDTF">2018-10-25T08:35:00Z</dcterms:created>
  <dcterms:modified xsi:type="dcterms:W3CDTF">2018-10-26T05:55:00Z</dcterms:modified>
</cp:coreProperties>
</file>